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173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6138"/>
      </w:tblGrid>
      <w:tr w:rsidR="00AB32ED" w:rsidRPr="00CB17A9" w14:paraId="1721BD28" w14:textId="77777777" w:rsidTr="002C35A4">
        <w:trPr>
          <w:trHeight w:val="196"/>
        </w:trPr>
        <w:tc>
          <w:tcPr>
            <w:tcW w:w="3035" w:type="dxa"/>
          </w:tcPr>
          <w:p w14:paraId="5F3FF557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Dependencia:</w:t>
            </w:r>
          </w:p>
        </w:tc>
        <w:tc>
          <w:tcPr>
            <w:tcW w:w="6138" w:type="dxa"/>
          </w:tcPr>
          <w:p w14:paraId="33B3E33F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b/>
                <w:sz w:val="24"/>
                <w:szCs w:val="24"/>
                <w:lang w:val="es-ES"/>
              </w:rPr>
              <w:t>OFICINA DE CONTROL ÚNICO DISCIPLINARIO.</w:t>
            </w:r>
          </w:p>
        </w:tc>
      </w:tr>
      <w:tr w:rsidR="00AB32ED" w:rsidRPr="00CB17A9" w14:paraId="444E37DD" w14:textId="77777777" w:rsidTr="002C35A4">
        <w:trPr>
          <w:trHeight w:val="267"/>
        </w:trPr>
        <w:tc>
          <w:tcPr>
            <w:tcW w:w="3035" w:type="dxa"/>
          </w:tcPr>
          <w:p w14:paraId="04627623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Radicación Nº</w:t>
            </w:r>
          </w:p>
        </w:tc>
        <w:tc>
          <w:tcPr>
            <w:tcW w:w="6138" w:type="dxa"/>
          </w:tcPr>
          <w:p w14:paraId="505ABE95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sz w:val="24"/>
                <w:szCs w:val="24"/>
                <w:lang w:val="es-ES"/>
              </w:rPr>
              <w:t>XXX-20XX</w:t>
            </w:r>
          </w:p>
        </w:tc>
      </w:tr>
      <w:tr w:rsidR="00AB32ED" w:rsidRPr="00CB17A9" w14:paraId="653649FC" w14:textId="77777777" w:rsidTr="002C35A4">
        <w:trPr>
          <w:trHeight w:val="279"/>
        </w:trPr>
        <w:tc>
          <w:tcPr>
            <w:tcW w:w="3035" w:type="dxa"/>
          </w:tcPr>
          <w:p w14:paraId="07C1FC0B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Investigado:</w:t>
            </w:r>
          </w:p>
        </w:tc>
        <w:tc>
          <w:tcPr>
            <w:tcW w:w="6138" w:type="dxa"/>
          </w:tcPr>
          <w:p w14:paraId="37EEF4E8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b/>
                <w:sz w:val="24"/>
                <w:szCs w:val="24"/>
                <w:lang w:val="es-ES"/>
              </w:rPr>
              <w:t>XXXXXXXXXXXXX</w:t>
            </w:r>
          </w:p>
        </w:tc>
      </w:tr>
      <w:tr w:rsidR="00AB32ED" w:rsidRPr="00CB17A9" w14:paraId="01BEA3A6" w14:textId="77777777" w:rsidTr="002C35A4">
        <w:trPr>
          <w:trHeight w:val="279"/>
        </w:trPr>
        <w:tc>
          <w:tcPr>
            <w:tcW w:w="3035" w:type="dxa"/>
          </w:tcPr>
          <w:p w14:paraId="6EC1435A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Cargo y Dependencia: </w:t>
            </w:r>
          </w:p>
        </w:tc>
        <w:tc>
          <w:tcPr>
            <w:tcW w:w="6138" w:type="dxa"/>
          </w:tcPr>
          <w:p w14:paraId="0741C8BD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sz w:val="24"/>
                <w:szCs w:val="24"/>
                <w:lang w:val="es-ES"/>
              </w:rPr>
              <w:t>XXXXXXXXXXXXXX.</w:t>
            </w:r>
            <w:bookmarkStart w:id="0" w:name="_GoBack"/>
            <w:bookmarkEnd w:id="0"/>
          </w:p>
        </w:tc>
      </w:tr>
      <w:tr w:rsidR="00AB32ED" w:rsidRPr="00CB17A9" w14:paraId="340F34E4" w14:textId="77777777" w:rsidTr="002C35A4">
        <w:trPr>
          <w:trHeight w:val="279"/>
        </w:trPr>
        <w:tc>
          <w:tcPr>
            <w:tcW w:w="3035" w:type="dxa"/>
          </w:tcPr>
          <w:p w14:paraId="0998D87F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bookmarkStart w:id="1" w:name="_Hlk107320747"/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Informante:</w:t>
            </w:r>
          </w:p>
        </w:tc>
        <w:tc>
          <w:tcPr>
            <w:tcW w:w="6138" w:type="dxa"/>
          </w:tcPr>
          <w:p w14:paraId="47B634AA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b/>
                <w:sz w:val="24"/>
                <w:szCs w:val="24"/>
                <w:lang w:val="es-ES"/>
              </w:rPr>
              <w:t>XXXXXXXXXXXXXX.</w:t>
            </w:r>
          </w:p>
        </w:tc>
      </w:tr>
      <w:bookmarkEnd w:id="1"/>
      <w:tr w:rsidR="00AB32ED" w:rsidRPr="00CB17A9" w14:paraId="4C84A08E" w14:textId="77777777" w:rsidTr="002C35A4">
        <w:trPr>
          <w:trHeight w:val="279"/>
        </w:trPr>
        <w:tc>
          <w:tcPr>
            <w:tcW w:w="3035" w:type="dxa"/>
          </w:tcPr>
          <w:p w14:paraId="466CE2E6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los hechos:</w:t>
            </w:r>
          </w:p>
        </w:tc>
        <w:tc>
          <w:tcPr>
            <w:tcW w:w="6138" w:type="dxa"/>
          </w:tcPr>
          <w:p w14:paraId="5A4963C0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17A9">
              <w:rPr>
                <w:rFonts w:ascii="Arial" w:hAnsi="Arial" w:cs="Arial"/>
                <w:sz w:val="24"/>
                <w:szCs w:val="24"/>
                <w:lang w:val="es-ES"/>
              </w:rPr>
              <w:t>XXXXXXXXXXXXXXXXXX</w:t>
            </w:r>
          </w:p>
        </w:tc>
      </w:tr>
      <w:tr w:rsidR="00AB32ED" w:rsidRPr="00CB17A9" w14:paraId="5384CF84" w14:textId="77777777" w:rsidTr="002C35A4">
        <w:trPr>
          <w:trHeight w:val="546"/>
        </w:trPr>
        <w:tc>
          <w:tcPr>
            <w:tcW w:w="3035" w:type="dxa"/>
          </w:tcPr>
          <w:p w14:paraId="17103F54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CB17A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Asunto:</w:t>
            </w:r>
          </w:p>
        </w:tc>
        <w:tc>
          <w:tcPr>
            <w:tcW w:w="6138" w:type="dxa"/>
          </w:tcPr>
          <w:p w14:paraId="655A47E3" w14:textId="77777777" w:rsidR="00AB32ED" w:rsidRPr="00CB17A9" w:rsidRDefault="00AB32ED" w:rsidP="00AB32ED">
            <w:pPr>
              <w:ind w:righ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7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 QUE ORDENA DAR TRASLADO DEL EXPEDIENTE A LOS SUJETOS PROCESALES PARA ALEGAR DE CONCLUSIÓN PREVIO AL FALLO.</w:t>
            </w:r>
          </w:p>
        </w:tc>
      </w:tr>
    </w:tbl>
    <w:p w14:paraId="7C254993" w14:textId="77777777" w:rsidR="007A449E" w:rsidRDefault="007A449E" w:rsidP="00AB32ED">
      <w:pPr>
        <w:tabs>
          <w:tab w:val="left" w:pos="4125"/>
        </w:tabs>
        <w:spacing w:line="240" w:lineRule="auto"/>
        <w:ind w:right="-232"/>
        <w:jc w:val="both"/>
        <w:rPr>
          <w:rFonts w:ascii="Arial" w:hAnsi="Arial" w:cs="Arial"/>
          <w:sz w:val="24"/>
          <w:szCs w:val="24"/>
          <w:lang w:val="es-ES"/>
        </w:rPr>
      </w:pPr>
    </w:p>
    <w:p w14:paraId="6175055A" w14:textId="2E292961" w:rsidR="00AB32ED" w:rsidRPr="00CB17A9" w:rsidRDefault="00AB32ED" w:rsidP="00AB32ED">
      <w:pPr>
        <w:tabs>
          <w:tab w:val="left" w:pos="4125"/>
        </w:tabs>
        <w:spacing w:line="240" w:lineRule="auto"/>
        <w:ind w:right="-232"/>
        <w:jc w:val="both"/>
        <w:rPr>
          <w:rFonts w:ascii="Arial" w:hAnsi="Arial" w:cs="Arial"/>
          <w:sz w:val="24"/>
          <w:szCs w:val="24"/>
          <w:lang w:val="es-ES"/>
        </w:rPr>
      </w:pPr>
      <w:r w:rsidRPr="00CB17A9">
        <w:rPr>
          <w:rFonts w:ascii="Arial" w:hAnsi="Arial" w:cs="Arial"/>
          <w:sz w:val="24"/>
          <w:szCs w:val="24"/>
          <w:lang w:val="es-ES"/>
        </w:rPr>
        <w:t xml:space="preserve">Ibagué, </w:t>
      </w:r>
      <w:r w:rsidRPr="00CB17A9">
        <w:rPr>
          <w:rFonts w:ascii="Arial" w:hAnsi="Arial" w:cs="Arial"/>
          <w:sz w:val="24"/>
          <w:szCs w:val="24"/>
          <w:lang w:val="es-ES"/>
        </w:rPr>
        <w:tab/>
      </w:r>
    </w:p>
    <w:p w14:paraId="615B4188" w14:textId="77777777" w:rsidR="00AB32ED" w:rsidRPr="00CB17A9" w:rsidRDefault="00AB32ED" w:rsidP="00AB32ED">
      <w:pPr>
        <w:spacing w:line="240" w:lineRule="auto"/>
        <w:ind w:right="-232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B17A9">
        <w:rPr>
          <w:rFonts w:ascii="Arial" w:hAnsi="Arial" w:cs="Arial"/>
          <w:b/>
          <w:bCs/>
          <w:sz w:val="24"/>
          <w:szCs w:val="24"/>
          <w:lang w:val="es-ES"/>
        </w:rPr>
        <w:t>ANTECEDENTES</w:t>
      </w:r>
    </w:p>
    <w:p w14:paraId="04EDF792" w14:textId="5B5DE6A0" w:rsidR="00AB32ED" w:rsidRPr="00CB17A9" w:rsidRDefault="00AB32ED" w:rsidP="00AB32ED">
      <w:pPr>
        <w:spacing w:line="240" w:lineRule="auto"/>
        <w:ind w:right="-232"/>
        <w:jc w:val="both"/>
        <w:rPr>
          <w:rFonts w:ascii="Arial" w:hAnsi="Arial" w:cs="Arial"/>
          <w:sz w:val="24"/>
          <w:szCs w:val="24"/>
          <w:lang w:val="es-ES"/>
        </w:rPr>
      </w:pPr>
      <w:r w:rsidRPr="00CB17A9">
        <w:rPr>
          <w:rFonts w:ascii="Arial" w:hAnsi="Arial" w:cs="Arial"/>
          <w:sz w:val="24"/>
          <w:szCs w:val="24"/>
          <w:lang w:val="es-ES"/>
        </w:rPr>
        <w:t xml:space="preserve">El jefe de la Oficina de Control Único Disciplinario de la </w:t>
      </w:r>
      <w:r w:rsidR="006B4655" w:rsidRPr="00CB17A9">
        <w:rPr>
          <w:rFonts w:ascii="Arial" w:hAnsi="Arial" w:cs="Arial"/>
          <w:sz w:val="24"/>
          <w:szCs w:val="24"/>
          <w:lang w:val="es-ES"/>
        </w:rPr>
        <w:t>Alcaldía</w:t>
      </w:r>
      <w:r w:rsidRPr="00CB17A9">
        <w:rPr>
          <w:rFonts w:ascii="Arial" w:hAnsi="Arial" w:cs="Arial"/>
          <w:sz w:val="24"/>
          <w:szCs w:val="24"/>
          <w:lang w:val="es-ES"/>
        </w:rPr>
        <w:t xml:space="preserve"> de Ibagué, en uso de sus facultades legales, en especial las conferidas en el artículo XX de la Ley 1952 de 2019, procede a correr traslado para alegar de conclusión dentro del Proceso Disciplinario No. XX-20XX adelantado contra de los XXXXXXXXXXXXXX y XXXXXXXXXX, quienes fungen como XXXXXX de XXXX adscritos a la </w:t>
      </w:r>
      <w:r w:rsidR="00CB17A9" w:rsidRPr="00CB17A9">
        <w:rPr>
          <w:rFonts w:ascii="Arial" w:hAnsi="Arial" w:cs="Arial"/>
          <w:sz w:val="24"/>
          <w:szCs w:val="24"/>
          <w:lang w:val="es-ES"/>
        </w:rPr>
        <w:t>secretaria</w:t>
      </w:r>
      <w:r w:rsidRPr="00CB17A9">
        <w:rPr>
          <w:rFonts w:ascii="Arial" w:hAnsi="Arial" w:cs="Arial"/>
          <w:sz w:val="24"/>
          <w:szCs w:val="24"/>
          <w:lang w:val="es-ES"/>
        </w:rPr>
        <w:t xml:space="preserve"> de XXXXXX.</w:t>
      </w:r>
    </w:p>
    <w:p w14:paraId="6E33BFA2" w14:textId="77777777" w:rsidR="00AB32ED" w:rsidRPr="00CB17A9" w:rsidRDefault="00AB32ED" w:rsidP="00AB32ED">
      <w:pPr>
        <w:spacing w:line="240" w:lineRule="auto"/>
        <w:ind w:right="-23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B17A9">
        <w:rPr>
          <w:rFonts w:ascii="Arial" w:hAnsi="Arial" w:cs="Arial"/>
          <w:b/>
          <w:sz w:val="24"/>
          <w:szCs w:val="24"/>
          <w:lang w:val="es-ES"/>
        </w:rPr>
        <w:t>CONSIDERACIONES DEL DESPACHO</w:t>
      </w:r>
    </w:p>
    <w:p w14:paraId="524BA196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De conformidad con lo dispuesto por el artículo </w:t>
      </w:r>
      <w:r w:rsid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225E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del Código </w:t>
      </w:r>
      <w:r w:rsid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General Disciplinario C.G.D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, los </w:t>
      </w:r>
      <w:r w:rsid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sujetos procesales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tienen derecho a presentar “alegatos de conclusión antes del fallo”. “Si no hubiere pruebas que practicar o habiéndose practicado las </w:t>
      </w:r>
      <w:r w:rsid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decretadas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, el funcionario de conocimiento mediante auto de sustanciación ordenará traslado común de diez (10) días para que los sujetos procesales puedan presentar alegatos de conclusión”.</w:t>
      </w:r>
    </w:p>
    <w:p w14:paraId="3A82DB86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492C69F6" w14:textId="1D425CC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Una vez practicadas las pruebas ordenadas en la etapa del juicio</w:t>
      </w:r>
      <w:r w:rsidR="0004783A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ordinario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, de conformidad con lo establecido en el artículo </w:t>
      </w:r>
      <w:r w:rsidR="0004783A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225E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de la Ley </w:t>
      </w:r>
      <w:r w:rsidR="0004783A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1952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de 20</w:t>
      </w:r>
      <w:r w:rsidR="0004783A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19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, procede el despacho antes de proferir fallo de primera instancia, a correr traslado a los sujetos procesales por el término común de diez (10) días para que presenten alegatos de conclusión, para lo cual el expediente quedará a su disposición en la Secretaría de la Oficina de Control Único Disciplinario de la </w:t>
      </w:r>
      <w:r w:rsidR="006B4655"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Alcaldía</w:t>
      </w: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de Ibagué.</w:t>
      </w:r>
    </w:p>
    <w:p w14:paraId="47E9EABE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73DF55D5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En consecuencia, se les corre traslado a los sujetos procesales por el término de diez días para que presenten sus alegatos de conclusión.</w:t>
      </w:r>
    </w:p>
    <w:p w14:paraId="59ECD246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6D4BB80B" w14:textId="77777777" w:rsidR="00AB32ED" w:rsidRPr="00CB17A9" w:rsidRDefault="00AB32ED" w:rsidP="00AB32ED">
      <w:pPr>
        <w:widowControl w:val="0"/>
        <w:autoSpaceDE w:val="0"/>
        <w:autoSpaceDN w:val="0"/>
        <w:adjustRightInd w:val="0"/>
        <w:spacing w:after="0" w:line="240" w:lineRule="atLeast"/>
        <w:ind w:right="-232"/>
        <w:jc w:val="both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CB17A9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Por la Secretaría, notifíquese en el listado de estado por el término de (1) día la presente decisión.</w:t>
      </w:r>
    </w:p>
    <w:p w14:paraId="1B5EDBF7" w14:textId="5D16E42B" w:rsidR="00AB32ED" w:rsidRPr="00CB17A9" w:rsidRDefault="00AB32ED" w:rsidP="007A449E">
      <w:pPr>
        <w:spacing w:line="240" w:lineRule="auto"/>
        <w:ind w:right="-374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B17A9">
        <w:rPr>
          <w:rFonts w:ascii="Arial" w:hAnsi="Arial" w:cs="Arial"/>
          <w:b/>
          <w:sz w:val="24"/>
          <w:szCs w:val="24"/>
          <w:lang w:val="es-CO"/>
        </w:rPr>
        <w:t>NOTIFÍQUESE Y CÚMPLASE</w:t>
      </w:r>
    </w:p>
    <w:p w14:paraId="47A24EFC" w14:textId="77777777" w:rsidR="00AB32ED" w:rsidRPr="00CB17A9" w:rsidRDefault="00AB32ED" w:rsidP="00AB32ED">
      <w:pPr>
        <w:spacing w:line="240" w:lineRule="auto"/>
        <w:ind w:right="-374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8BD01D9" w14:textId="77777777" w:rsidR="00AB32ED" w:rsidRPr="00CB17A9" w:rsidRDefault="00AB32ED" w:rsidP="00AB32ED">
      <w:pPr>
        <w:spacing w:after="0" w:line="240" w:lineRule="auto"/>
        <w:ind w:right="-374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5FCB5AD" w14:textId="77777777" w:rsidR="00AB32ED" w:rsidRPr="00CB17A9" w:rsidRDefault="00AB32ED" w:rsidP="00AB32ED">
      <w:pPr>
        <w:spacing w:after="0" w:line="240" w:lineRule="auto"/>
        <w:ind w:right="-374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B17A9">
        <w:rPr>
          <w:rFonts w:ascii="Arial" w:hAnsi="Arial" w:cs="Arial"/>
          <w:b/>
          <w:bCs/>
          <w:sz w:val="24"/>
          <w:szCs w:val="24"/>
          <w:lang w:val="es-ES"/>
        </w:rPr>
        <w:t>XXXXXXXX</w:t>
      </w:r>
    </w:p>
    <w:p w14:paraId="0AD29181" w14:textId="77777777" w:rsidR="00AB32ED" w:rsidRPr="00CB17A9" w:rsidRDefault="00AB32ED" w:rsidP="00AB32ED">
      <w:pPr>
        <w:spacing w:after="0" w:line="240" w:lineRule="auto"/>
        <w:ind w:right="-374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B17A9">
        <w:rPr>
          <w:rFonts w:ascii="Arial" w:hAnsi="Arial" w:cs="Arial"/>
          <w:b/>
          <w:bCs/>
          <w:sz w:val="24"/>
          <w:szCs w:val="24"/>
          <w:lang w:val="es-ES"/>
        </w:rPr>
        <w:t>Jefe de la Oficina Control Único Disciplinario</w:t>
      </w:r>
    </w:p>
    <w:p w14:paraId="5DA635BD" w14:textId="77777777" w:rsidR="00AB32ED" w:rsidRPr="0004783A" w:rsidRDefault="00AB32ED" w:rsidP="0004783A">
      <w:pPr>
        <w:spacing w:after="0" w:line="240" w:lineRule="auto"/>
        <w:ind w:right="-374"/>
        <w:jc w:val="both"/>
        <w:rPr>
          <w:rFonts w:ascii="Arial" w:hAnsi="Arial" w:cs="Arial"/>
          <w:sz w:val="18"/>
          <w:szCs w:val="24"/>
          <w:lang w:val="es-ES_tradnl"/>
        </w:rPr>
      </w:pPr>
    </w:p>
    <w:p w14:paraId="4C686C99" w14:textId="77777777" w:rsidR="00AB32ED" w:rsidRPr="0004783A" w:rsidRDefault="00AB32ED" w:rsidP="0004783A">
      <w:pPr>
        <w:spacing w:after="0" w:line="240" w:lineRule="auto"/>
        <w:ind w:right="-374"/>
        <w:jc w:val="both"/>
        <w:rPr>
          <w:rFonts w:ascii="Arial" w:hAnsi="Arial" w:cs="Arial"/>
          <w:bCs/>
          <w:sz w:val="18"/>
          <w:szCs w:val="24"/>
          <w:lang w:val="es-ES_tradnl"/>
        </w:rPr>
      </w:pPr>
      <w:r w:rsidRPr="0004783A">
        <w:rPr>
          <w:rFonts w:ascii="Arial" w:hAnsi="Arial" w:cs="Arial"/>
          <w:bCs/>
          <w:sz w:val="18"/>
          <w:szCs w:val="24"/>
          <w:lang w:val="es-ES_tradnl"/>
        </w:rPr>
        <w:t xml:space="preserve">Proyectó: </w:t>
      </w:r>
    </w:p>
    <w:p w14:paraId="1984CEE6" w14:textId="6077AE18" w:rsidR="00AB32ED" w:rsidRPr="00CB17A9" w:rsidRDefault="0004783A" w:rsidP="007A449E">
      <w:pPr>
        <w:spacing w:after="0" w:line="240" w:lineRule="auto"/>
        <w:ind w:right="-374"/>
        <w:jc w:val="both"/>
        <w:rPr>
          <w:sz w:val="24"/>
          <w:szCs w:val="24"/>
        </w:rPr>
      </w:pPr>
      <w:r w:rsidRPr="0004783A">
        <w:rPr>
          <w:rFonts w:ascii="Arial" w:hAnsi="Arial" w:cs="Arial"/>
          <w:sz w:val="18"/>
          <w:szCs w:val="24"/>
          <w:lang w:val="es-ES_tradnl"/>
        </w:rPr>
        <w:t>Revis</w:t>
      </w:r>
      <w:r w:rsidR="00EF46B0">
        <w:rPr>
          <w:rFonts w:ascii="Arial" w:hAnsi="Arial" w:cs="Arial"/>
          <w:sz w:val="18"/>
          <w:szCs w:val="24"/>
          <w:lang w:val="es-ES_tradnl"/>
        </w:rPr>
        <w:t>o</w:t>
      </w:r>
      <w:r w:rsidRPr="0004783A">
        <w:rPr>
          <w:rFonts w:ascii="Arial" w:hAnsi="Arial" w:cs="Arial"/>
          <w:sz w:val="18"/>
          <w:szCs w:val="24"/>
          <w:lang w:val="es-ES_tradnl"/>
        </w:rPr>
        <w:t xml:space="preserve">: </w:t>
      </w:r>
    </w:p>
    <w:sectPr w:rsidR="00AB32ED" w:rsidRPr="00CB17A9" w:rsidSect="002C4F95">
      <w:headerReference w:type="default" r:id="rId6"/>
      <w:footerReference w:type="default" r:id="rId7"/>
      <w:pgSz w:w="12242" w:h="18711" w:code="25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EEA7" w14:textId="77777777" w:rsidR="00CE1BC9" w:rsidRDefault="00CE1BC9" w:rsidP="00AB32ED">
      <w:pPr>
        <w:spacing w:after="0" w:line="240" w:lineRule="auto"/>
      </w:pPr>
      <w:r>
        <w:separator/>
      </w:r>
    </w:p>
  </w:endnote>
  <w:endnote w:type="continuationSeparator" w:id="0">
    <w:p w14:paraId="54D4F075" w14:textId="77777777" w:rsidR="00CE1BC9" w:rsidRDefault="00CE1BC9" w:rsidP="00AB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B207" w14:textId="7D8D0682" w:rsidR="00735C28" w:rsidRPr="002A009C" w:rsidRDefault="002A009C" w:rsidP="002C4F95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iCs/>
        <w:sz w:val="16"/>
        <w:szCs w:val="16"/>
        <w:lang w:val="es-ES" w:eastAsia="es-ES"/>
      </w:rPr>
    </w:pPr>
    <w:bookmarkStart w:id="2" w:name="_Hlk17706892"/>
    <w:r w:rsidRPr="002A009C">
      <w:rPr>
        <w:rFonts w:ascii="Arial" w:hAnsi="Arial" w:cs="Arial"/>
        <w:i/>
        <w:i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BD39" w14:textId="77777777" w:rsidR="00CE1BC9" w:rsidRDefault="00CE1BC9" w:rsidP="00AB32ED">
      <w:pPr>
        <w:spacing w:after="0" w:line="240" w:lineRule="auto"/>
      </w:pPr>
      <w:r>
        <w:separator/>
      </w:r>
    </w:p>
  </w:footnote>
  <w:footnote w:type="continuationSeparator" w:id="0">
    <w:p w14:paraId="200E8ECA" w14:textId="77777777" w:rsidR="00CE1BC9" w:rsidRDefault="00CE1BC9" w:rsidP="00AB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46" w:type="dxa"/>
      <w:tblInd w:w="-5" w:type="dxa"/>
      <w:tblLook w:val="04A0" w:firstRow="1" w:lastRow="0" w:firstColumn="1" w:lastColumn="0" w:noHBand="0" w:noVBand="1"/>
    </w:tblPr>
    <w:tblGrid>
      <w:gridCol w:w="1914"/>
      <w:gridCol w:w="3756"/>
      <w:gridCol w:w="2226"/>
      <w:gridCol w:w="1250"/>
    </w:tblGrid>
    <w:tr w:rsidR="002C4F95" w:rsidRPr="004C1E01" w14:paraId="338CDD79" w14:textId="77777777" w:rsidTr="004C1E01">
      <w:trPr>
        <w:trHeight w:val="230"/>
      </w:trPr>
      <w:tc>
        <w:tcPr>
          <w:tcW w:w="1914" w:type="dxa"/>
          <w:vMerge w:val="restart"/>
          <w:vAlign w:val="center"/>
        </w:tcPr>
        <w:p w14:paraId="5CE9C2FF" w14:textId="363B1939" w:rsidR="00735C28" w:rsidRPr="004C1E01" w:rsidRDefault="006B4655" w:rsidP="00492313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sz w:val="18"/>
              <w:szCs w:val="18"/>
            </w:rPr>
            <w:object w:dxaOrig="3015" w:dyaOrig="1305" w14:anchorId="5B404C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6pt;height:43pt">
                <v:imagedata r:id="rId1" o:title=""/>
              </v:shape>
              <o:OLEObject Type="Embed" ProgID="PBrush" ShapeID="_x0000_i1025" DrawAspect="Content" ObjectID="_1795347455" r:id="rId2"/>
            </w:object>
          </w:r>
        </w:p>
      </w:tc>
      <w:tc>
        <w:tcPr>
          <w:tcW w:w="3756" w:type="dxa"/>
          <w:vMerge w:val="restart"/>
          <w:vAlign w:val="center"/>
        </w:tcPr>
        <w:p w14:paraId="5B2A89D0" w14:textId="01742C14" w:rsidR="00735C28" w:rsidRPr="004C1E01" w:rsidRDefault="00F44B72" w:rsidP="003E7062">
          <w:pPr>
            <w:pStyle w:val="Encabezado"/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PROCESO</w:t>
          </w:r>
          <w:r w:rsidR="004C1E01"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:</w:t>
          </w: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 xml:space="preserve"> </w:t>
          </w:r>
          <w:r w:rsidRPr="004C1E01">
            <w:rPr>
              <w:rFonts w:ascii="Arial" w:hAnsi="Arial" w:cs="Arial"/>
              <w:bCs/>
              <w:noProof/>
              <w:sz w:val="18"/>
              <w:szCs w:val="18"/>
              <w:lang w:eastAsia="es-CO"/>
            </w:rPr>
            <w:t>GESTIÓN Y CONTROL DISCIPLINARIO</w:t>
          </w:r>
        </w:p>
      </w:tc>
      <w:tc>
        <w:tcPr>
          <w:tcW w:w="2226" w:type="dxa"/>
        </w:tcPr>
        <w:p w14:paraId="09F5D63E" w14:textId="075872AC" w:rsidR="00735C28" w:rsidRPr="004C1E01" w:rsidRDefault="00F44B72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Codigo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:                     FOR-</w:t>
          </w:r>
          <w:r w:rsidR="004C1E01"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2</w:t>
          </w:r>
          <w:r w:rsidR="00D040AE">
            <w:rPr>
              <w:rFonts w:ascii="Arial" w:hAnsi="Arial" w:cs="Arial"/>
              <w:noProof/>
              <w:sz w:val="18"/>
              <w:szCs w:val="18"/>
              <w:lang w:eastAsia="es-CO"/>
            </w:rPr>
            <w:t>7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-PRO-GCD-01</w:t>
          </w:r>
        </w:p>
      </w:tc>
      <w:tc>
        <w:tcPr>
          <w:tcW w:w="1250" w:type="dxa"/>
          <w:vMerge w:val="restart"/>
          <w:vAlign w:val="center"/>
        </w:tcPr>
        <w:p w14:paraId="3728CEA8" w14:textId="77777777" w:rsidR="00735C28" w:rsidRPr="004C1E01" w:rsidRDefault="00F44B72" w:rsidP="004B3FB9">
          <w:pPr>
            <w:pStyle w:val="Encabezado"/>
            <w:jc w:val="center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509EACBE" wp14:editId="30CEE035">
                <wp:extent cx="466090" cy="593766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526" cy="61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4F95" w:rsidRPr="004C1E01" w14:paraId="0ABC4AC9" w14:textId="77777777" w:rsidTr="004C1E01">
      <w:trPr>
        <w:trHeight w:val="241"/>
      </w:trPr>
      <w:tc>
        <w:tcPr>
          <w:tcW w:w="1914" w:type="dxa"/>
          <w:vMerge/>
        </w:tcPr>
        <w:p w14:paraId="3E1927A6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  <w:tc>
        <w:tcPr>
          <w:tcW w:w="3756" w:type="dxa"/>
          <w:vMerge/>
        </w:tcPr>
        <w:p w14:paraId="6612EA16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  <w:tc>
        <w:tcPr>
          <w:tcW w:w="2226" w:type="dxa"/>
        </w:tcPr>
        <w:p w14:paraId="7EAB4593" w14:textId="77777777" w:rsidR="00735C28" w:rsidRPr="004C1E01" w:rsidRDefault="00F44B72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Versión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:01</w:t>
          </w:r>
        </w:p>
      </w:tc>
      <w:tc>
        <w:tcPr>
          <w:tcW w:w="1250" w:type="dxa"/>
          <w:vMerge/>
        </w:tcPr>
        <w:p w14:paraId="0B9914B6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</w:tr>
    <w:tr w:rsidR="002C4F95" w:rsidRPr="004C1E01" w14:paraId="34C3E405" w14:textId="77777777" w:rsidTr="004C1E01">
      <w:trPr>
        <w:trHeight w:val="252"/>
      </w:trPr>
      <w:tc>
        <w:tcPr>
          <w:tcW w:w="1914" w:type="dxa"/>
          <w:vMerge/>
        </w:tcPr>
        <w:p w14:paraId="748DAB20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  <w:tc>
        <w:tcPr>
          <w:tcW w:w="3756" w:type="dxa"/>
          <w:vMerge/>
        </w:tcPr>
        <w:p w14:paraId="79EAEDF9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  <w:tc>
        <w:tcPr>
          <w:tcW w:w="2226" w:type="dxa"/>
        </w:tcPr>
        <w:p w14:paraId="44B85355" w14:textId="6720092D" w:rsidR="00735C28" w:rsidRPr="004C1E01" w:rsidRDefault="00F44B72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Fecha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:</w:t>
          </w:r>
          <w:r w:rsidR="004C1E01"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28/11/2024</w:t>
          </w:r>
        </w:p>
      </w:tc>
      <w:tc>
        <w:tcPr>
          <w:tcW w:w="1250" w:type="dxa"/>
          <w:vMerge/>
        </w:tcPr>
        <w:p w14:paraId="6E61B0AE" w14:textId="77777777" w:rsidR="00735C28" w:rsidRPr="004C1E01" w:rsidRDefault="00735C28" w:rsidP="002C4F95">
          <w:pPr>
            <w:pStyle w:val="Encabezado"/>
            <w:jc w:val="right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</w:tr>
    <w:tr w:rsidR="002C4F95" w:rsidRPr="004C1E01" w14:paraId="60D8FCE1" w14:textId="77777777" w:rsidTr="004C1E01">
      <w:trPr>
        <w:trHeight w:val="569"/>
      </w:trPr>
      <w:tc>
        <w:tcPr>
          <w:tcW w:w="1914" w:type="dxa"/>
          <w:vMerge/>
        </w:tcPr>
        <w:p w14:paraId="5A0F615E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  <w:tc>
        <w:tcPr>
          <w:tcW w:w="3756" w:type="dxa"/>
        </w:tcPr>
        <w:p w14:paraId="1B172CEA" w14:textId="6193EAC7" w:rsidR="00735C28" w:rsidRPr="004C1E01" w:rsidRDefault="004C1E01" w:rsidP="006524B4">
          <w:pPr>
            <w:pStyle w:val="Encabezado"/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bCs/>
              <w:noProof/>
              <w:sz w:val="18"/>
              <w:szCs w:val="18"/>
              <w:lang w:val="es-MX" w:eastAsia="es-CO"/>
            </w:rPr>
            <w:t xml:space="preserve">FORMATO: </w:t>
          </w:r>
          <w:r w:rsidR="00F44B72" w:rsidRPr="004C1E01">
            <w:rPr>
              <w:rFonts w:ascii="Arial" w:hAnsi="Arial" w:cs="Arial"/>
              <w:noProof/>
              <w:sz w:val="18"/>
              <w:szCs w:val="18"/>
              <w:lang w:val="es-MX" w:eastAsia="es-CO"/>
            </w:rPr>
            <w:t>AUTO QUE ORDENA DAR TRASLADO DEL EXPEDIENTE A LOS SUJETOS PROCESALES PARA ALEGAR DE CONCLUSIÓN PREVIO AL FALLO</w:t>
          </w:r>
          <w:r w:rsidR="00F44B72" w:rsidRPr="004C1E01">
            <w:rPr>
              <w:rFonts w:ascii="Arial" w:hAnsi="Arial" w:cs="Arial"/>
              <w:b/>
              <w:bCs/>
              <w:noProof/>
              <w:sz w:val="18"/>
              <w:szCs w:val="18"/>
              <w:lang w:val="es-MX" w:eastAsia="es-CO"/>
            </w:rPr>
            <w:t>.</w:t>
          </w:r>
        </w:p>
      </w:tc>
      <w:tc>
        <w:tcPr>
          <w:tcW w:w="2226" w:type="dxa"/>
        </w:tcPr>
        <w:p w14:paraId="4ABA3EA1" w14:textId="23E91E29" w:rsidR="00735C28" w:rsidRPr="004C1E01" w:rsidRDefault="00F44B72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  <w:r w:rsidRPr="004C1E01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>Pagina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>:</w:t>
          </w:r>
          <w:r w:rsidR="006B4655">
            <w:rPr>
              <w:rFonts w:ascii="Arial" w:hAnsi="Arial" w:cs="Arial"/>
              <w:noProof/>
              <w:sz w:val="18"/>
              <w:szCs w:val="18"/>
              <w:lang w:eastAsia="es-CO"/>
            </w:rPr>
            <w:t xml:space="preserve"> 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begin"/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separate"/>
          </w:r>
          <w:r w:rsidR="006B4655">
            <w:rPr>
              <w:rFonts w:ascii="Arial" w:hAnsi="Arial" w:cs="Arial"/>
              <w:noProof/>
              <w:sz w:val="18"/>
              <w:szCs w:val="18"/>
              <w:lang w:eastAsia="es-CO"/>
            </w:rPr>
            <w:t>1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end"/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t xml:space="preserve"> DE 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begin"/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separate"/>
          </w:r>
          <w:r w:rsidR="006B4655">
            <w:rPr>
              <w:rFonts w:ascii="Arial" w:hAnsi="Arial" w:cs="Arial"/>
              <w:noProof/>
              <w:sz w:val="18"/>
              <w:szCs w:val="18"/>
              <w:lang w:eastAsia="es-CO"/>
            </w:rPr>
            <w:t>1</w:t>
          </w:r>
          <w:r w:rsidRPr="004C1E01">
            <w:rPr>
              <w:rFonts w:ascii="Arial" w:hAnsi="Arial" w:cs="Arial"/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50" w:type="dxa"/>
          <w:vMerge/>
        </w:tcPr>
        <w:p w14:paraId="66017456" w14:textId="77777777" w:rsidR="00735C28" w:rsidRPr="004C1E01" w:rsidRDefault="00735C28" w:rsidP="002C4F95">
          <w:pPr>
            <w:pStyle w:val="Encabezado"/>
            <w:rPr>
              <w:rFonts w:ascii="Arial" w:hAnsi="Arial" w:cs="Arial"/>
              <w:noProof/>
              <w:sz w:val="18"/>
              <w:szCs w:val="18"/>
              <w:lang w:eastAsia="es-CO"/>
            </w:rPr>
          </w:pPr>
        </w:p>
      </w:tc>
    </w:tr>
  </w:tbl>
  <w:p w14:paraId="7F6A2451" w14:textId="77777777" w:rsidR="00735C28" w:rsidRDefault="00735C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ED"/>
    <w:rsid w:val="0004783A"/>
    <w:rsid w:val="00065BA8"/>
    <w:rsid w:val="00264EFC"/>
    <w:rsid w:val="002A009C"/>
    <w:rsid w:val="003E7062"/>
    <w:rsid w:val="00492313"/>
    <w:rsid w:val="004B3FB9"/>
    <w:rsid w:val="004C1E01"/>
    <w:rsid w:val="00666232"/>
    <w:rsid w:val="006B4655"/>
    <w:rsid w:val="006E4255"/>
    <w:rsid w:val="006F783D"/>
    <w:rsid w:val="00735C28"/>
    <w:rsid w:val="0074631B"/>
    <w:rsid w:val="007A449E"/>
    <w:rsid w:val="00A559C8"/>
    <w:rsid w:val="00A6355A"/>
    <w:rsid w:val="00AB32ED"/>
    <w:rsid w:val="00AB4963"/>
    <w:rsid w:val="00B6296F"/>
    <w:rsid w:val="00CB17A9"/>
    <w:rsid w:val="00CE1BC9"/>
    <w:rsid w:val="00CF09FF"/>
    <w:rsid w:val="00D040AE"/>
    <w:rsid w:val="00EC4EA3"/>
    <w:rsid w:val="00EF46B0"/>
    <w:rsid w:val="00F44B72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D49C"/>
  <w15:chartTrackingRefBased/>
  <w15:docId w15:val="{6432A63F-6CFB-4A43-93F3-210D4CA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32E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rsid w:val="00AB32ED"/>
    <w:rPr>
      <w:lang w:val="es-CO"/>
    </w:rPr>
  </w:style>
  <w:style w:type="table" w:styleId="Tablaconcuadrcula">
    <w:name w:val="Table Grid"/>
    <w:basedOn w:val="Tablanormal"/>
    <w:uiPriority w:val="39"/>
    <w:rsid w:val="00AB32E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B32E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3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cifuentes barreto</dc:creator>
  <cp:keywords/>
  <dc:description/>
  <cp:lastModifiedBy>Sandy Poveda Vargas</cp:lastModifiedBy>
  <cp:revision>2</cp:revision>
  <dcterms:created xsi:type="dcterms:W3CDTF">2024-12-10T19:51:00Z</dcterms:created>
  <dcterms:modified xsi:type="dcterms:W3CDTF">2024-12-10T19:51:00Z</dcterms:modified>
</cp:coreProperties>
</file>